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5578E6" w14:textId="77777777" w:rsidR="00C75DEF" w:rsidRDefault="00000000">
      <w:pPr>
        <w:spacing w:line="276" w:lineRule="auto"/>
        <w:ind w:left="708" w:hanging="708"/>
        <w:jc w:val="center"/>
        <w:rPr>
          <w:rFonts w:ascii="Gibson Book" w:eastAsia="Gibson Book" w:hAnsi="Gibson Book" w:cs="Gibson Book"/>
        </w:rPr>
      </w:pPr>
      <w:r>
        <w:rPr>
          <w:rFonts w:ascii="Gibson Book" w:eastAsia="Gibson Book" w:hAnsi="Gibson Book" w:cs="Gibson Book"/>
          <w:b/>
        </w:rPr>
        <w:t>AVISO INTEGRAL</w:t>
      </w:r>
    </w:p>
    <w:p w14:paraId="490BFE13" w14:textId="77777777" w:rsidR="00C75DEF" w:rsidRDefault="00000000">
      <w:pPr>
        <w:spacing w:line="276" w:lineRule="auto"/>
        <w:jc w:val="center"/>
        <w:rPr>
          <w:rFonts w:ascii="Gibson Book" w:eastAsia="Gibson Book" w:hAnsi="Gibson Book" w:cs="Gibson Book"/>
          <w:b/>
        </w:rPr>
      </w:pPr>
      <w:r>
        <w:rPr>
          <w:rFonts w:ascii="Gibson Book" w:eastAsia="Gibson Book" w:hAnsi="Gibson Book" w:cs="Gibson Book"/>
          <w:b/>
        </w:rPr>
        <w:t>DE PRIVACIDAD DE LA</w:t>
      </w:r>
    </w:p>
    <w:p w14:paraId="6C1EF5BE" w14:textId="77777777" w:rsidR="00C75DEF" w:rsidRDefault="00000000">
      <w:pPr>
        <w:spacing w:line="276" w:lineRule="auto"/>
        <w:jc w:val="center"/>
        <w:rPr>
          <w:rFonts w:ascii="Gibson Book" w:eastAsia="Gibson Book" w:hAnsi="Gibson Book" w:cs="Gibson Book"/>
          <w:b/>
        </w:rPr>
      </w:pPr>
      <w:r>
        <w:rPr>
          <w:rFonts w:ascii="Gibson Book" w:eastAsia="Gibson Book" w:hAnsi="Gibson Book" w:cs="Gibson Book"/>
          <w:b/>
        </w:rPr>
        <w:t>DIRECCIÓN DE RECURSOS HUMANOS</w:t>
      </w:r>
    </w:p>
    <w:p w14:paraId="0B8423E6" w14:textId="77777777" w:rsidR="00DC12C2" w:rsidRDefault="00DC12C2">
      <w:pPr>
        <w:spacing w:line="276" w:lineRule="auto"/>
        <w:jc w:val="both"/>
        <w:rPr>
          <w:rFonts w:ascii="Gibson Book" w:eastAsia="Gibson Book" w:hAnsi="Gibson Book" w:cs="Gibson Book"/>
          <w:b/>
        </w:rPr>
      </w:pPr>
    </w:p>
    <w:p w14:paraId="288B9494" w14:textId="3250BE8F" w:rsidR="00C75DEF" w:rsidRDefault="00000000">
      <w:pPr>
        <w:spacing w:line="276" w:lineRule="auto"/>
        <w:jc w:val="both"/>
        <w:rPr>
          <w:rFonts w:ascii="Gibson Book" w:eastAsia="Gibson Book" w:hAnsi="Gibson Book" w:cs="Gibson Book"/>
        </w:rPr>
      </w:pPr>
      <w:r>
        <w:rPr>
          <w:rFonts w:ascii="Gibson Book" w:eastAsia="Gibson Book" w:hAnsi="Gibson Book" w:cs="Gibson Book"/>
          <w:b/>
        </w:rPr>
        <w:t xml:space="preserve">I. Denominación y domicilio del </w:t>
      </w:r>
      <w:r w:rsidR="00685AAE">
        <w:rPr>
          <w:rFonts w:ascii="Gibson Book" w:eastAsia="Gibson Book" w:hAnsi="Gibson Book" w:cs="Gibson Book"/>
          <w:b/>
        </w:rPr>
        <w:t>r</w:t>
      </w:r>
      <w:r>
        <w:rPr>
          <w:rFonts w:ascii="Gibson Book" w:eastAsia="Gibson Book" w:hAnsi="Gibson Book" w:cs="Gibson Book"/>
          <w:b/>
        </w:rPr>
        <w:t>esponsable.</w:t>
      </w:r>
    </w:p>
    <w:p w14:paraId="0DCFBF05" w14:textId="77777777" w:rsidR="00C75DEF" w:rsidRDefault="00C75DEF">
      <w:pPr>
        <w:spacing w:line="276" w:lineRule="auto"/>
        <w:jc w:val="both"/>
        <w:rPr>
          <w:rFonts w:ascii="Gibson Book" w:eastAsia="Gibson Book" w:hAnsi="Gibson Book" w:cs="Gibson Book"/>
        </w:rPr>
      </w:pPr>
    </w:p>
    <w:p w14:paraId="75DFE0B4" w14:textId="77777777" w:rsidR="00C75DEF" w:rsidRDefault="00000000">
      <w:pPr>
        <w:spacing w:line="276" w:lineRule="auto"/>
        <w:jc w:val="both"/>
        <w:rPr>
          <w:rFonts w:ascii="Gibson Book" w:eastAsia="Gibson Book" w:hAnsi="Gibson Book" w:cs="Gibson Book"/>
        </w:rPr>
      </w:pPr>
      <w:bookmarkStart w:id="0" w:name="_heading=h.gjdgxs" w:colFirst="0" w:colLast="0"/>
      <w:bookmarkEnd w:id="0"/>
      <w:r>
        <w:rPr>
          <w:rFonts w:ascii="Gibson Book" w:eastAsia="Gibson Book" w:hAnsi="Gibson Book" w:cs="Gibson Book"/>
        </w:rPr>
        <w:t>La Secretaría de Finanzas y Administración (SFA), por conducto de la Dirección de Recursos Humanos, con domicilio en Calle Francisco Márquez número 326, Colonia Chapultepec Norte, C.P. 58260, en la Ciudad de Morelia, Michoacán, será la responsable del tratamiento y protección de sus datos personales.</w:t>
      </w:r>
    </w:p>
    <w:p w14:paraId="28BC5AF2" w14:textId="77777777" w:rsidR="00C75DEF" w:rsidRDefault="00C75DEF">
      <w:pPr>
        <w:spacing w:line="276" w:lineRule="auto"/>
        <w:jc w:val="both"/>
        <w:rPr>
          <w:rFonts w:ascii="Gibson Book" w:eastAsia="Gibson Book" w:hAnsi="Gibson Book" w:cs="Gibson Book"/>
        </w:rPr>
      </w:pPr>
    </w:p>
    <w:p w14:paraId="5CF9ABA3" w14:textId="77777777" w:rsidR="00C75DEF" w:rsidRDefault="00000000">
      <w:pPr>
        <w:jc w:val="both"/>
      </w:pPr>
      <w:bookmarkStart w:id="1" w:name="_heading=h.30j0zll" w:colFirst="0" w:colLast="0"/>
      <w:bookmarkEnd w:id="1"/>
      <w:r>
        <w:t>Lo anterior de conformidad con lo dispuesto en los artículos 3, fracciones I, II, VII, VIII, IX, X, XIX, XX, XXI, XXII, XXIII, 6, 7, 22, 23, 24, 25 y 26 de la Ley de Protección de Datos Personales en Posesión de Sujetos Obligados del Estado de Michoacán de Ocampo y 33 de la Ley de Transparencia, Acceso a la Información Pública y Protección de Datos Personales del Estado de Michoacán de Ocampo. En relación con las atribuciones establecidas en el artículo 34 del Reglamento Interior de la Secretaría de Finanzas y Administración y los numerales 1.2.1 y 1.2.1.1 del Manual de Organización de la Secretaría de Finanzas y Administración.</w:t>
      </w:r>
    </w:p>
    <w:p w14:paraId="713A6F1E" w14:textId="77777777" w:rsidR="00C75DEF" w:rsidRDefault="00C75DEF">
      <w:pPr>
        <w:spacing w:line="276" w:lineRule="auto"/>
        <w:jc w:val="both"/>
        <w:rPr>
          <w:rFonts w:ascii="Gibson Book" w:eastAsia="Gibson Book" w:hAnsi="Gibson Book" w:cs="Gibson Book"/>
        </w:rPr>
      </w:pPr>
    </w:p>
    <w:p w14:paraId="69C5C91B" w14:textId="77777777" w:rsidR="00C75DEF" w:rsidRDefault="00000000">
      <w:pPr>
        <w:spacing w:line="276" w:lineRule="auto"/>
        <w:jc w:val="both"/>
        <w:rPr>
          <w:rFonts w:ascii="Gibson Book" w:eastAsia="Gibson Book" w:hAnsi="Gibson Book" w:cs="Gibson Book"/>
          <w:b/>
        </w:rPr>
      </w:pPr>
      <w:r>
        <w:rPr>
          <w:rFonts w:ascii="Gibson Book" w:eastAsia="Gibson Book" w:hAnsi="Gibson Book" w:cs="Gibson Book"/>
          <w:b/>
        </w:rPr>
        <w:t>II. Finalidad de la obtención de datos personales</w:t>
      </w:r>
    </w:p>
    <w:p w14:paraId="63C110B6" w14:textId="77777777" w:rsidR="00C75DEF" w:rsidRDefault="00C75DEF">
      <w:pPr>
        <w:spacing w:line="276" w:lineRule="auto"/>
        <w:jc w:val="both"/>
        <w:rPr>
          <w:rFonts w:ascii="Gibson Book" w:eastAsia="Gibson Book" w:hAnsi="Gibson Book" w:cs="Gibson Book"/>
          <w:b/>
          <w:highlight w:val="yellow"/>
        </w:rPr>
      </w:pPr>
    </w:p>
    <w:p w14:paraId="00AAF248" w14:textId="62F9EEB6" w:rsidR="00C75DEF" w:rsidRDefault="00000000">
      <w:pPr>
        <w:spacing w:line="276" w:lineRule="auto"/>
        <w:jc w:val="both"/>
        <w:rPr>
          <w:rFonts w:ascii="Gibson Book" w:eastAsia="Gibson Book" w:hAnsi="Gibson Book" w:cs="Gibson Book"/>
          <w:b/>
        </w:rPr>
      </w:pPr>
      <w:r>
        <w:rPr>
          <w:rFonts w:ascii="Gibson Book" w:eastAsia="Gibson Book" w:hAnsi="Gibson Book" w:cs="Gibson Book"/>
          <w:b/>
        </w:rPr>
        <w:t xml:space="preserve">Los datos que se recaban serán utilizados única y exclusivamente para </w:t>
      </w:r>
      <w:r w:rsidR="00074561">
        <w:rPr>
          <w:rFonts w:ascii="Gibson Book" w:eastAsia="Gibson Book" w:hAnsi="Gibson Book" w:cs="Gibson Book"/>
          <w:b/>
        </w:rPr>
        <w:t xml:space="preserve">integrar el expediente de personal del trabajador, así como para </w:t>
      </w:r>
      <w:r>
        <w:rPr>
          <w:rFonts w:ascii="Gibson Book" w:eastAsia="Gibson Book" w:hAnsi="Gibson Book" w:cs="Gibson Book"/>
          <w:b/>
        </w:rPr>
        <w:t xml:space="preserve">atender el trámite y/o servicio administrativo </w:t>
      </w:r>
      <w:r w:rsidR="00074561">
        <w:rPr>
          <w:rFonts w:ascii="Gibson Book" w:eastAsia="Gibson Book" w:hAnsi="Gibson Book" w:cs="Gibson Book"/>
          <w:b/>
        </w:rPr>
        <w:t xml:space="preserve">adyacentes que sean </w:t>
      </w:r>
      <w:r>
        <w:rPr>
          <w:rFonts w:ascii="Gibson Book" w:eastAsia="Gibson Book" w:hAnsi="Gibson Book" w:cs="Gibson Book"/>
          <w:b/>
        </w:rPr>
        <w:t>solicitado</w:t>
      </w:r>
      <w:r w:rsidR="00074561">
        <w:rPr>
          <w:rFonts w:ascii="Gibson Book" w:eastAsia="Gibson Book" w:hAnsi="Gibson Book" w:cs="Gibson Book"/>
          <w:b/>
        </w:rPr>
        <w:t>s por el trabajador</w:t>
      </w:r>
      <w:r>
        <w:rPr>
          <w:rFonts w:ascii="Gibson Book" w:eastAsia="Gibson Book" w:hAnsi="Gibson Book" w:cs="Gibson Book"/>
          <w:b/>
        </w:rPr>
        <w:t xml:space="preserve"> conforme el siguiente listado:</w:t>
      </w:r>
    </w:p>
    <w:p w14:paraId="12F95A0F" w14:textId="77777777" w:rsidR="00074561" w:rsidRDefault="00074561">
      <w:pPr>
        <w:spacing w:line="276" w:lineRule="auto"/>
        <w:jc w:val="both"/>
        <w:rPr>
          <w:rFonts w:ascii="Gibson Book" w:eastAsia="Gibson Book" w:hAnsi="Gibson Book" w:cs="Gibson Book"/>
          <w:b/>
        </w:rPr>
      </w:pPr>
    </w:p>
    <w:p w14:paraId="1BED0E76" w14:textId="252E67B1" w:rsidR="00074561" w:rsidRDefault="00074561">
      <w:pPr>
        <w:widowControl w:val="0"/>
        <w:numPr>
          <w:ilvl w:val="0"/>
          <w:numId w:val="1"/>
        </w:numPr>
        <w:pBdr>
          <w:top w:val="nil"/>
          <w:left w:val="nil"/>
          <w:bottom w:val="nil"/>
          <w:right w:val="nil"/>
          <w:between w:val="nil"/>
        </w:pBdr>
        <w:spacing w:line="276" w:lineRule="auto"/>
        <w:jc w:val="both"/>
        <w:rPr>
          <w:rFonts w:ascii="Gibson Book" w:eastAsia="Gibson Book" w:hAnsi="Gibson Book" w:cs="Gibson Book"/>
          <w:color w:val="000000"/>
        </w:rPr>
      </w:pPr>
      <w:bookmarkStart w:id="2" w:name="_heading=h.1fob9te" w:colFirst="0" w:colLast="0"/>
      <w:bookmarkEnd w:id="2"/>
      <w:r>
        <w:rPr>
          <w:rFonts w:ascii="Gibson Book" w:eastAsia="Gibson Book" w:hAnsi="Gibson Book" w:cs="Gibson Book"/>
          <w:color w:val="000000"/>
        </w:rPr>
        <w:t>Para la integración del expediente de personal</w:t>
      </w:r>
      <w:r w:rsidR="00647D9B">
        <w:rPr>
          <w:rFonts w:ascii="Gibson Book" w:eastAsia="Gibson Book" w:hAnsi="Gibson Book" w:cs="Gibson Book"/>
          <w:color w:val="000000"/>
        </w:rPr>
        <w:t>.</w:t>
      </w:r>
    </w:p>
    <w:p w14:paraId="391D77AB" w14:textId="352D0A33" w:rsidR="00C75DEF" w:rsidRDefault="00000000">
      <w:pPr>
        <w:widowControl w:val="0"/>
        <w:numPr>
          <w:ilvl w:val="0"/>
          <w:numId w:val="1"/>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 xml:space="preserve">Para tramitar el </w:t>
      </w:r>
      <w:r>
        <w:rPr>
          <w:rFonts w:ascii="Gibson Book" w:eastAsia="Gibson Book" w:hAnsi="Gibson Book" w:cs="Gibson Book"/>
          <w:color w:val="000000"/>
          <w:u w:val="single"/>
        </w:rPr>
        <w:t>pago del Seguro de Vida</w:t>
      </w:r>
      <w:r>
        <w:rPr>
          <w:rFonts w:ascii="Gibson Book" w:eastAsia="Gibson Book" w:hAnsi="Gibson Book" w:cs="Gibson Book"/>
          <w:color w:val="000000"/>
        </w:rPr>
        <w:t xml:space="preserve"> del personal activo (del Sindicato de Trabajadores al Servicio del Poder Ejecutivo STASPE y Operativos), a los beneficiarios del trabajador fallecido, o al trabajador (cuando el pago es por dictamen de invalidez).</w:t>
      </w:r>
    </w:p>
    <w:p w14:paraId="3A84A7D9" w14:textId="77777777" w:rsidR="00C75DEF" w:rsidRDefault="00000000">
      <w:pPr>
        <w:widowControl w:val="0"/>
        <w:numPr>
          <w:ilvl w:val="0"/>
          <w:numId w:val="1"/>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 xml:space="preserve">Para tramitar el </w:t>
      </w:r>
      <w:r>
        <w:rPr>
          <w:rFonts w:ascii="Gibson Book" w:eastAsia="Gibson Book" w:hAnsi="Gibson Book" w:cs="Gibson Book"/>
          <w:color w:val="000000"/>
          <w:u w:val="single"/>
        </w:rPr>
        <w:t>pago de los Gastos de Funeral</w:t>
      </w:r>
      <w:r>
        <w:rPr>
          <w:rFonts w:ascii="Gibson Book" w:eastAsia="Gibson Book" w:hAnsi="Gibson Book" w:cs="Gibson Book"/>
          <w:color w:val="000000"/>
        </w:rPr>
        <w:t xml:space="preserve"> del personal activo (del Sindicato de </w:t>
      </w:r>
      <w:r>
        <w:rPr>
          <w:rFonts w:ascii="Gibson Book" w:eastAsia="Gibson Book" w:hAnsi="Gibson Book" w:cs="Gibson Book"/>
          <w:color w:val="000000"/>
        </w:rPr>
        <w:lastRenderedPageBreak/>
        <w:t>Trabajadores al Servicio del Poder Ejecutivo STASPE), a los beneficiarios del trabajador fallecido.</w:t>
      </w:r>
    </w:p>
    <w:p w14:paraId="0E281523" w14:textId="77777777" w:rsidR="00C75DEF" w:rsidRDefault="00000000">
      <w:pPr>
        <w:widowControl w:val="0"/>
        <w:numPr>
          <w:ilvl w:val="0"/>
          <w:numId w:val="1"/>
        </w:numPr>
        <w:pBdr>
          <w:top w:val="nil"/>
          <w:left w:val="nil"/>
          <w:bottom w:val="nil"/>
          <w:right w:val="nil"/>
          <w:between w:val="nil"/>
        </w:pBdr>
        <w:spacing w:line="276" w:lineRule="auto"/>
        <w:jc w:val="both"/>
        <w:rPr>
          <w:rFonts w:ascii="Gibson Book" w:eastAsia="Gibson Book" w:hAnsi="Gibson Book" w:cs="Gibson Book"/>
          <w:b/>
          <w:color w:val="000000"/>
        </w:rPr>
      </w:pPr>
      <w:bookmarkStart w:id="3" w:name="_heading=h.3znysh7" w:colFirst="0" w:colLast="0"/>
      <w:bookmarkEnd w:id="3"/>
      <w:r>
        <w:rPr>
          <w:rFonts w:ascii="Gibson Book" w:eastAsia="Gibson Book" w:hAnsi="Gibson Book" w:cs="Gibson Book"/>
          <w:color w:val="000000"/>
        </w:rPr>
        <w:t xml:space="preserve">Para tramitar el </w:t>
      </w:r>
      <w:r>
        <w:rPr>
          <w:rFonts w:ascii="Gibson Book" w:eastAsia="Gibson Book" w:hAnsi="Gibson Book" w:cs="Gibson Book"/>
          <w:color w:val="000000"/>
          <w:u w:val="single"/>
        </w:rPr>
        <w:t>pago del apoyo económico para trasladarse para atención médica en clínicas foráneas del Instituto Mexicano del Seguro Social</w:t>
      </w:r>
      <w:r>
        <w:rPr>
          <w:rFonts w:ascii="Gibson Book" w:eastAsia="Gibson Book" w:hAnsi="Gibson Book" w:cs="Gibson Book"/>
          <w:color w:val="000000"/>
        </w:rPr>
        <w:t xml:space="preserve"> (IMSS), al trabajador. También se otorgará este importe cuando el trabajador acuda como acompañante de pacientes que sean sus beneficiarios legalmente registrados. </w:t>
      </w:r>
    </w:p>
    <w:p w14:paraId="32BFA95F" w14:textId="77777777" w:rsidR="00C75DEF" w:rsidRDefault="00C75DEF">
      <w:pPr>
        <w:spacing w:line="276" w:lineRule="auto"/>
        <w:jc w:val="both"/>
        <w:rPr>
          <w:rFonts w:ascii="Gibson Book" w:eastAsia="Gibson Book" w:hAnsi="Gibson Book" w:cs="Gibson Book"/>
          <w:b/>
        </w:rPr>
      </w:pPr>
    </w:p>
    <w:p w14:paraId="7DD16A30" w14:textId="77777777" w:rsidR="00C75DEF" w:rsidRDefault="00000000">
      <w:pPr>
        <w:spacing w:line="276" w:lineRule="auto"/>
        <w:jc w:val="both"/>
        <w:rPr>
          <w:rFonts w:ascii="Gibson Book" w:eastAsia="Gibson Book" w:hAnsi="Gibson Book" w:cs="Gibson Book"/>
          <w:b/>
        </w:rPr>
      </w:pPr>
      <w:r>
        <w:rPr>
          <w:rFonts w:ascii="Gibson Book" w:eastAsia="Gibson Book" w:hAnsi="Gibson Book" w:cs="Gibson Book"/>
          <w:b/>
        </w:rPr>
        <w:t xml:space="preserve">Los datos personales que se recaben por parte de la Dirección de Recursos </w:t>
      </w:r>
      <w:proofErr w:type="gramStart"/>
      <w:r>
        <w:rPr>
          <w:rFonts w:ascii="Gibson Book" w:eastAsia="Gibson Book" w:hAnsi="Gibson Book" w:cs="Gibson Book"/>
          <w:b/>
        </w:rPr>
        <w:t>Humanos,</w:t>
      </w:r>
      <w:proofErr w:type="gramEnd"/>
      <w:r>
        <w:rPr>
          <w:rFonts w:ascii="Gibson Book" w:eastAsia="Gibson Book" w:hAnsi="Gibson Book" w:cs="Gibson Book"/>
          <w:b/>
        </w:rPr>
        <w:t xml:space="preserve"> serán utilizados en término de sus atribuciones conferidas.</w:t>
      </w:r>
    </w:p>
    <w:p w14:paraId="65E3BAFB" w14:textId="77777777" w:rsidR="00C75DEF" w:rsidRDefault="00C75DEF">
      <w:pPr>
        <w:spacing w:line="276" w:lineRule="auto"/>
        <w:jc w:val="both"/>
        <w:rPr>
          <w:rFonts w:ascii="Gibson Book" w:eastAsia="Gibson Book" w:hAnsi="Gibson Book" w:cs="Gibson Book"/>
          <w:b/>
          <w:highlight w:val="yellow"/>
        </w:rPr>
      </w:pPr>
    </w:p>
    <w:p w14:paraId="6C891FA6" w14:textId="77777777" w:rsidR="00C75DEF" w:rsidRDefault="00000000">
      <w:pPr>
        <w:spacing w:line="276" w:lineRule="auto"/>
        <w:jc w:val="both"/>
        <w:rPr>
          <w:rFonts w:ascii="Gibson Book" w:eastAsia="Gibson Book" w:hAnsi="Gibson Book" w:cs="Gibson Book"/>
          <w:b/>
        </w:rPr>
      </w:pPr>
      <w:r>
        <w:rPr>
          <w:rFonts w:ascii="Gibson Book" w:eastAsia="Gibson Book" w:hAnsi="Gibson Book" w:cs="Gibson Book"/>
          <w:b/>
        </w:rPr>
        <w:t>III. Tipo de datos sometidos a tratamiento</w:t>
      </w:r>
    </w:p>
    <w:p w14:paraId="639015CB" w14:textId="77777777" w:rsidR="00C75DEF" w:rsidRDefault="00C75DEF">
      <w:pPr>
        <w:spacing w:line="276" w:lineRule="auto"/>
        <w:jc w:val="both"/>
        <w:rPr>
          <w:rFonts w:ascii="Gibson Book" w:eastAsia="Gibson Book" w:hAnsi="Gibson Book" w:cs="Gibson Book"/>
          <w:b/>
          <w:highlight w:val="yellow"/>
        </w:rPr>
      </w:pPr>
    </w:p>
    <w:p w14:paraId="0BD8A1C3" w14:textId="77777777" w:rsidR="00647D9B" w:rsidRPr="00647D9B" w:rsidRDefault="00647D9B" w:rsidP="00647D9B">
      <w:pPr>
        <w:pStyle w:val="Prrafodelista"/>
        <w:widowControl w:val="0"/>
        <w:numPr>
          <w:ilvl w:val="0"/>
          <w:numId w:val="6"/>
        </w:numPr>
        <w:pBdr>
          <w:top w:val="nil"/>
          <w:left w:val="nil"/>
          <w:bottom w:val="nil"/>
          <w:right w:val="nil"/>
          <w:between w:val="nil"/>
        </w:pBdr>
        <w:spacing w:line="276" w:lineRule="auto"/>
        <w:ind w:left="426"/>
        <w:jc w:val="both"/>
        <w:rPr>
          <w:rFonts w:ascii="Gibson Book" w:eastAsia="Gibson Book" w:hAnsi="Gibson Book" w:cs="Gibson Book"/>
          <w:b/>
          <w:bCs/>
          <w:color w:val="000000"/>
        </w:rPr>
      </w:pPr>
      <w:r w:rsidRPr="00647D9B">
        <w:rPr>
          <w:rFonts w:ascii="Gibson Book" w:eastAsia="Gibson Book" w:hAnsi="Gibson Book" w:cs="Gibson Book"/>
          <w:b/>
          <w:bCs/>
          <w:color w:val="000000"/>
        </w:rPr>
        <w:t>Para la integración del expediente de personal.</w:t>
      </w:r>
    </w:p>
    <w:p w14:paraId="672587A2" w14:textId="77777777" w:rsidR="00647D9B" w:rsidRDefault="00647D9B" w:rsidP="00647D9B">
      <w:pPr>
        <w:widowControl w:val="0"/>
        <w:pBdr>
          <w:top w:val="nil"/>
          <w:left w:val="nil"/>
          <w:bottom w:val="nil"/>
          <w:right w:val="nil"/>
          <w:between w:val="nil"/>
        </w:pBdr>
        <w:spacing w:line="276" w:lineRule="auto"/>
        <w:ind w:left="426"/>
        <w:jc w:val="both"/>
        <w:rPr>
          <w:rFonts w:ascii="Gibson Book" w:eastAsia="Gibson Book" w:hAnsi="Gibson Book" w:cs="Gibson Book"/>
          <w:color w:val="000000"/>
        </w:rPr>
      </w:pPr>
    </w:p>
    <w:p w14:paraId="004CB6EA" w14:textId="67041A43" w:rsidR="00647D9B" w:rsidRDefault="00647D9B" w:rsidP="00647D9B">
      <w:pPr>
        <w:widowControl w:val="0"/>
        <w:pBdr>
          <w:top w:val="nil"/>
          <w:left w:val="nil"/>
          <w:bottom w:val="nil"/>
          <w:right w:val="nil"/>
          <w:between w:val="nil"/>
        </w:pBdr>
        <w:spacing w:line="276" w:lineRule="auto"/>
        <w:ind w:left="426"/>
        <w:jc w:val="both"/>
        <w:rPr>
          <w:rFonts w:ascii="Gibson Book" w:eastAsia="Gibson Book" w:hAnsi="Gibson Book" w:cs="Gibson Book"/>
          <w:color w:val="000000"/>
        </w:rPr>
      </w:pPr>
      <w:r>
        <w:rPr>
          <w:rFonts w:ascii="Gibson Book" w:eastAsia="Gibson Book" w:hAnsi="Gibson Book" w:cs="Gibson Book"/>
          <w:color w:val="000000"/>
        </w:rPr>
        <w:t>De identidad: Nombre (s), Apellidos, comprobante de domicilio, teléfono particular y/o celular, edad, sexo, lugar y fecha de nacimiento, acta de nacimiento, nacionalidad, correo electrónico, Clave Única de Registro de Población (CURP), credencial para votar con fotografía expedida por el Instituto Nacional Electoral (INE), Clave de Registro Federal de Contribuyentes (RFC), currículum comprobado, constancia de no inhabilitación.</w:t>
      </w:r>
    </w:p>
    <w:p w14:paraId="622FDFF7" w14:textId="77777777" w:rsidR="00647D9B" w:rsidRDefault="00647D9B">
      <w:pPr>
        <w:widowControl w:val="0"/>
        <w:spacing w:line="276" w:lineRule="auto"/>
        <w:jc w:val="both"/>
        <w:rPr>
          <w:rFonts w:ascii="Gibson Book" w:eastAsia="Gibson Book" w:hAnsi="Gibson Book" w:cs="Gibson Book"/>
          <w:b/>
        </w:rPr>
      </w:pPr>
    </w:p>
    <w:p w14:paraId="29A0FB91" w14:textId="7108303F" w:rsidR="00C75DEF" w:rsidRPr="00647D9B" w:rsidRDefault="00000000" w:rsidP="00647D9B">
      <w:pPr>
        <w:pStyle w:val="Prrafodelista"/>
        <w:widowControl w:val="0"/>
        <w:numPr>
          <w:ilvl w:val="0"/>
          <w:numId w:val="6"/>
        </w:numPr>
        <w:spacing w:line="276" w:lineRule="auto"/>
        <w:ind w:left="426"/>
        <w:jc w:val="both"/>
        <w:rPr>
          <w:rFonts w:ascii="Gibson Book" w:eastAsia="Gibson Book" w:hAnsi="Gibson Book" w:cs="Gibson Book"/>
          <w:b/>
        </w:rPr>
      </w:pPr>
      <w:r w:rsidRPr="00647D9B">
        <w:rPr>
          <w:rFonts w:ascii="Gibson Book" w:eastAsia="Gibson Book" w:hAnsi="Gibson Book" w:cs="Gibson Book"/>
          <w:b/>
        </w:rPr>
        <w:t xml:space="preserve">Para tramitar el </w:t>
      </w:r>
      <w:r w:rsidRPr="00647D9B">
        <w:rPr>
          <w:rFonts w:ascii="Gibson Book" w:eastAsia="Gibson Book" w:hAnsi="Gibson Book" w:cs="Gibson Book"/>
          <w:b/>
          <w:u w:val="single"/>
        </w:rPr>
        <w:t>pago del Seguro de Vida</w:t>
      </w:r>
      <w:r w:rsidRPr="00647D9B">
        <w:rPr>
          <w:rFonts w:ascii="Gibson Book" w:eastAsia="Gibson Book" w:hAnsi="Gibson Book" w:cs="Gibson Book"/>
          <w:b/>
        </w:rPr>
        <w:t xml:space="preserve"> del personal activo (del Sindicato de Trabajadores al Servicio del Poder Ejecutivo STASPE y Operativos), a los beneficiarios del trabajador fallecido, o al trabajador (cuando el pago es por dictamen de invalidez).</w:t>
      </w:r>
    </w:p>
    <w:p w14:paraId="400A543C" w14:textId="77777777" w:rsidR="00074561" w:rsidRDefault="00074561">
      <w:pPr>
        <w:widowControl w:val="0"/>
        <w:spacing w:line="276" w:lineRule="auto"/>
        <w:jc w:val="both"/>
        <w:rPr>
          <w:rFonts w:ascii="Gibson Book" w:eastAsia="Gibson Book" w:hAnsi="Gibson Book" w:cs="Gibson Book"/>
          <w:b/>
        </w:rPr>
      </w:pPr>
    </w:p>
    <w:p w14:paraId="1FDFB5F4" w14:textId="6D020DFC" w:rsidR="00C75DEF" w:rsidRDefault="00000000">
      <w:pPr>
        <w:numPr>
          <w:ilvl w:val="0"/>
          <w:numId w:val="2"/>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 xml:space="preserve">De identidad: </w:t>
      </w:r>
      <w:r w:rsidR="00685AAE">
        <w:rPr>
          <w:rFonts w:ascii="Gibson Book" w:eastAsia="Gibson Book" w:hAnsi="Gibson Book" w:cs="Gibson Book"/>
          <w:color w:val="000000"/>
        </w:rPr>
        <w:t>n</w:t>
      </w:r>
      <w:r>
        <w:rPr>
          <w:rFonts w:ascii="Gibson Book" w:eastAsia="Gibson Book" w:hAnsi="Gibson Book" w:cs="Gibson Book"/>
          <w:color w:val="000000"/>
        </w:rPr>
        <w:t xml:space="preserve">ombre (s), </w:t>
      </w:r>
      <w:r w:rsidR="00685AAE">
        <w:rPr>
          <w:rFonts w:ascii="Gibson Book" w:eastAsia="Gibson Book" w:hAnsi="Gibson Book" w:cs="Gibson Book"/>
          <w:color w:val="000000"/>
        </w:rPr>
        <w:t>a</w:t>
      </w:r>
      <w:r>
        <w:rPr>
          <w:rFonts w:ascii="Gibson Book" w:eastAsia="Gibson Book" w:hAnsi="Gibson Book" w:cs="Gibson Book"/>
          <w:color w:val="000000"/>
        </w:rPr>
        <w:t>pellidos, domicilio, teléfono particular y/o celular, edad, sexo, lugar y fecha de nacimiento, nacionalidad, correo electrónico, Clave Única de Registro de Población (CURP), Clave de Registro Federal de Contribuyentes (RFC), fecha de defunción.</w:t>
      </w:r>
    </w:p>
    <w:p w14:paraId="64542808" w14:textId="77777777" w:rsidR="00C75DEF" w:rsidRDefault="00C75DEF">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0B90A54F" w14:textId="09F1AE7A" w:rsidR="00C75DEF" w:rsidRPr="00647D9B" w:rsidRDefault="00000000" w:rsidP="00647D9B">
      <w:pPr>
        <w:pStyle w:val="Prrafodelista"/>
        <w:widowControl w:val="0"/>
        <w:numPr>
          <w:ilvl w:val="0"/>
          <w:numId w:val="6"/>
        </w:numPr>
        <w:spacing w:line="276" w:lineRule="auto"/>
        <w:ind w:left="426"/>
        <w:jc w:val="both"/>
        <w:rPr>
          <w:rFonts w:ascii="Gibson Book" w:eastAsia="Gibson Book" w:hAnsi="Gibson Book" w:cs="Gibson Book"/>
          <w:b/>
        </w:rPr>
      </w:pPr>
      <w:r w:rsidRPr="00647D9B">
        <w:rPr>
          <w:rFonts w:ascii="Gibson Book" w:eastAsia="Gibson Book" w:hAnsi="Gibson Book" w:cs="Gibson Book"/>
          <w:b/>
        </w:rPr>
        <w:lastRenderedPageBreak/>
        <w:t xml:space="preserve">Para tramitar el </w:t>
      </w:r>
      <w:r w:rsidRPr="00647D9B">
        <w:rPr>
          <w:rFonts w:ascii="Gibson Book" w:eastAsia="Gibson Book" w:hAnsi="Gibson Book" w:cs="Gibson Book"/>
          <w:b/>
          <w:u w:val="single"/>
        </w:rPr>
        <w:t>pago de los Gastos de Funeral</w:t>
      </w:r>
      <w:r w:rsidRPr="00647D9B">
        <w:rPr>
          <w:rFonts w:ascii="Gibson Book" w:eastAsia="Gibson Book" w:hAnsi="Gibson Book" w:cs="Gibson Book"/>
          <w:b/>
        </w:rPr>
        <w:t xml:space="preserve"> del personal activo (del Sindicato de Trabajadores al Servicio del Poder Ejecutivo STASPE), a los beneficiarios del trabajador fallecido.</w:t>
      </w:r>
    </w:p>
    <w:p w14:paraId="4722787A" w14:textId="77777777" w:rsidR="00C75DEF" w:rsidRDefault="00C75DEF">
      <w:pPr>
        <w:spacing w:line="276" w:lineRule="auto"/>
        <w:jc w:val="both"/>
        <w:rPr>
          <w:rFonts w:ascii="Gibson Book" w:eastAsia="Gibson Book" w:hAnsi="Gibson Book" w:cs="Gibson Book"/>
        </w:rPr>
      </w:pPr>
    </w:p>
    <w:p w14:paraId="1074C3AE" w14:textId="4E8E93DD" w:rsidR="00C75DEF" w:rsidRDefault="00000000">
      <w:pPr>
        <w:numPr>
          <w:ilvl w:val="0"/>
          <w:numId w:val="2"/>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 xml:space="preserve">De identidad: </w:t>
      </w:r>
      <w:r w:rsidR="00685AAE">
        <w:rPr>
          <w:rFonts w:ascii="Gibson Book" w:eastAsia="Gibson Book" w:hAnsi="Gibson Book" w:cs="Gibson Book"/>
          <w:color w:val="000000"/>
        </w:rPr>
        <w:t>n</w:t>
      </w:r>
      <w:r>
        <w:rPr>
          <w:rFonts w:ascii="Gibson Book" w:eastAsia="Gibson Book" w:hAnsi="Gibson Book" w:cs="Gibson Book"/>
          <w:color w:val="000000"/>
        </w:rPr>
        <w:t xml:space="preserve">ombre (s), </w:t>
      </w:r>
      <w:r w:rsidR="00685AAE">
        <w:rPr>
          <w:rFonts w:ascii="Gibson Book" w:eastAsia="Gibson Book" w:hAnsi="Gibson Book" w:cs="Gibson Book"/>
          <w:color w:val="000000"/>
        </w:rPr>
        <w:t>a</w:t>
      </w:r>
      <w:r>
        <w:rPr>
          <w:rFonts w:ascii="Gibson Book" w:eastAsia="Gibson Book" w:hAnsi="Gibson Book" w:cs="Gibson Book"/>
          <w:color w:val="000000"/>
        </w:rPr>
        <w:t>pellidos, domicilio, teléfono particular y/o celular, edad, sexo, lugar y fecha de nacimiento, nacionalidad, correo electrónico, Clave Única de Registro de Población (CURP), Clave de Registro Federal de Contribuyentes (RFC), fecha de defunción.</w:t>
      </w:r>
    </w:p>
    <w:p w14:paraId="6A839824" w14:textId="77777777" w:rsidR="00C75DEF" w:rsidRDefault="00C75DEF">
      <w:pPr>
        <w:spacing w:line="276" w:lineRule="auto"/>
        <w:jc w:val="both"/>
        <w:rPr>
          <w:rFonts w:ascii="Gibson Book" w:eastAsia="Gibson Book" w:hAnsi="Gibson Book" w:cs="Gibson Book"/>
        </w:rPr>
      </w:pPr>
    </w:p>
    <w:p w14:paraId="5570842E" w14:textId="4ECB6C63" w:rsidR="00C75DEF" w:rsidRPr="00647D9B" w:rsidRDefault="00000000" w:rsidP="00647D9B">
      <w:pPr>
        <w:pStyle w:val="Prrafodelista"/>
        <w:numPr>
          <w:ilvl w:val="0"/>
          <w:numId w:val="6"/>
        </w:numPr>
        <w:spacing w:line="276" w:lineRule="auto"/>
        <w:ind w:left="426"/>
        <w:jc w:val="both"/>
        <w:rPr>
          <w:rFonts w:ascii="Gibson Book" w:eastAsia="Gibson Book" w:hAnsi="Gibson Book" w:cs="Gibson Book"/>
          <w:b/>
        </w:rPr>
      </w:pPr>
      <w:r w:rsidRPr="00647D9B">
        <w:rPr>
          <w:rFonts w:ascii="Gibson Book" w:eastAsia="Gibson Book" w:hAnsi="Gibson Book" w:cs="Gibson Book"/>
          <w:b/>
        </w:rPr>
        <w:t xml:space="preserve">Para tramitar el </w:t>
      </w:r>
      <w:r w:rsidRPr="00647D9B">
        <w:rPr>
          <w:rFonts w:ascii="Gibson Book" w:eastAsia="Gibson Book" w:hAnsi="Gibson Book" w:cs="Gibson Book"/>
          <w:b/>
          <w:u w:val="single"/>
        </w:rPr>
        <w:t>pago del apoyo económico para trasladarse para atención médica en clínicas foráneas del Instituto Mexicano del Seguro Social</w:t>
      </w:r>
      <w:r w:rsidRPr="00647D9B">
        <w:rPr>
          <w:rFonts w:ascii="Gibson Book" w:eastAsia="Gibson Book" w:hAnsi="Gibson Book" w:cs="Gibson Book"/>
          <w:b/>
        </w:rPr>
        <w:t xml:space="preserve"> (IMSS), al trabajador. También se otorgará este importe cuando el trabajador acuda como acompañante de pacientes que sean sus beneficiarios legalmente registrados.</w:t>
      </w:r>
    </w:p>
    <w:p w14:paraId="191B4AEA" w14:textId="77777777" w:rsidR="00074561" w:rsidRPr="00647D9B" w:rsidRDefault="00074561" w:rsidP="00647D9B">
      <w:pPr>
        <w:pStyle w:val="Prrafodelista"/>
        <w:spacing w:line="276" w:lineRule="auto"/>
        <w:jc w:val="both"/>
        <w:rPr>
          <w:rFonts w:ascii="Gibson Book" w:eastAsia="Gibson Book" w:hAnsi="Gibson Book" w:cs="Gibson Book"/>
          <w:b/>
        </w:rPr>
      </w:pPr>
    </w:p>
    <w:p w14:paraId="588BB027" w14:textId="33BE8BF2" w:rsidR="00C75DEF" w:rsidRDefault="00000000">
      <w:pPr>
        <w:numPr>
          <w:ilvl w:val="0"/>
          <w:numId w:val="2"/>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 xml:space="preserve">De identidad: </w:t>
      </w:r>
      <w:r w:rsidR="00685AAE">
        <w:rPr>
          <w:rFonts w:ascii="Gibson Book" w:eastAsia="Gibson Book" w:hAnsi="Gibson Book" w:cs="Gibson Book"/>
          <w:color w:val="000000"/>
        </w:rPr>
        <w:t>n</w:t>
      </w:r>
      <w:r>
        <w:rPr>
          <w:rFonts w:ascii="Gibson Book" w:eastAsia="Gibson Book" w:hAnsi="Gibson Book" w:cs="Gibson Book"/>
          <w:color w:val="000000"/>
        </w:rPr>
        <w:t xml:space="preserve">ombre (s), </w:t>
      </w:r>
      <w:r w:rsidR="00685AAE">
        <w:rPr>
          <w:rFonts w:ascii="Gibson Book" w:eastAsia="Gibson Book" w:hAnsi="Gibson Book" w:cs="Gibson Book"/>
          <w:color w:val="000000"/>
        </w:rPr>
        <w:t>a</w:t>
      </w:r>
      <w:r>
        <w:rPr>
          <w:rFonts w:ascii="Gibson Book" w:eastAsia="Gibson Book" w:hAnsi="Gibson Book" w:cs="Gibson Book"/>
          <w:color w:val="000000"/>
        </w:rPr>
        <w:t>pellidos, domicilio, teléfono particular y/o celular, edad, sexo, lugar y fecha de nacimiento, nacionalidad, correo electrónico, Clave Única de Registro de Población (CURP), Clave de Registro Federal de Contribuyentes (RFC), fecha de defunción.</w:t>
      </w:r>
    </w:p>
    <w:p w14:paraId="01F1A109" w14:textId="77777777" w:rsidR="00C75DEF" w:rsidRDefault="00C75DEF" w:rsidP="00647D9B">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2DBB9A15" w14:textId="77777777" w:rsidR="00C75DEF" w:rsidRDefault="00000000">
      <w:pPr>
        <w:spacing w:line="276" w:lineRule="auto"/>
        <w:jc w:val="both"/>
        <w:rPr>
          <w:rFonts w:ascii="Gibson Book" w:eastAsia="Gibson Book" w:hAnsi="Gibson Book" w:cs="Gibson Book"/>
        </w:rPr>
      </w:pPr>
      <w:r>
        <w:rPr>
          <w:rFonts w:ascii="Gibson Book" w:eastAsia="Gibson Book" w:hAnsi="Gibson Book" w:cs="Gibson Book"/>
        </w:rPr>
        <w:t>Adicionalmente, se utilizarán los siguientes datos personales considerados como sensibles, que requieren de especial protección:</w:t>
      </w:r>
    </w:p>
    <w:p w14:paraId="1112D9DF" w14:textId="77777777" w:rsidR="00C75DEF" w:rsidRDefault="00C75DEF">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1B3CFA02" w14:textId="77777777" w:rsidR="00C75DEF" w:rsidRDefault="00000000">
      <w:pPr>
        <w:numPr>
          <w:ilvl w:val="0"/>
          <w:numId w:val="2"/>
        </w:numPr>
        <w:pBdr>
          <w:top w:val="nil"/>
          <w:left w:val="nil"/>
          <w:bottom w:val="nil"/>
          <w:right w:val="nil"/>
          <w:between w:val="nil"/>
        </w:pBdr>
        <w:spacing w:line="276" w:lineRule="auto"/>
        <w:jc w:val="both"/>
        <w:rPr>
          <w:rFonts w:ascii="Gibson Book" w:eastAsia="Gibson Book" w:hAnsi="Gibson Book" w:cs="Gibson Book"/>
          <w:b/>
          <w:color w:val="000000"/>
        </w:rPr>
      </w:pPr>
      <w:r>
        <w:rPr>
          <w:rFonts w:ascii="Gibson Book" w:eastAsia="Gibson Book" w:hAnsi="Gibson Book" w:cs="Gibson Book"/>
          <w:color w:val="000000"/>
        </w:rPr>
        <w:t>Estado de salud.</w:t>
      </w:r>
    </w:p>
    <w:p w14:paraId="0D4FE8D6" w14:textId="77777777" w:rsidR="00C75DEF" w:rsidRDefault="00C75DEF">
      <w:pPr>
        <w:spacing w:line="276" w:lineRule="auto"/>
        <w:jc w:val="both"/>
        <w:rPr>
          <w:rFonts w:ascii="Gibson Book" w:eastAsia="Gibson Book" w:hAnsi="Gibson Book" w:cs="Gibson Book"/>
          <w:b/>
        </w:rPr>
      </w:pPr>
    </w:p>
    <w:p w14:paraId="4DA3FF81" w14:textId="77777777" w:rsidR="00C75DEF" w:rsidRDefault="00000000">
      <w:pPr>
        <w:spacing w:line="276" w:lineRule="auto"/>
        <w:jc w:val="both"/>
        <w:rPr>
          <w:rFonts w:ascii="Gibson Book" w:eastAsia="Gibson Book" w:hAnsi="Gibson Book" w:cs="Gibson Book"/>
        </w:rPr>
      </w:pPr>
      <w:r>
        <w:rPr>
          <w:rFonts w:ascii="Gibson Book" w:eastAsia="Gibson Book" w:hAnsi="Gibson Book" w:cs="Gibson Book"/>
          <w:b/>
        </w:rPr>
        <w:t>IV. Mecanismos de seguridad</w:t>
      </w:r>
    </w:p>
    <w:p w14:paraId="278DE6AF" w14:textId="77777777" w:rsidR="00C75DEF" w:rsidRDefault="00C75DEF">
      <w:pPr>
        <w:spacing w:line="276" w:lineRule="auto"/>
        <w:jc w:val="both"/>
        <w:rPr>
          <w:rFonts w:ascii="Gibson Book" w:eastAsia="Gibson Book" w:hAnsi="Gibson Book" w:cs="Gibson Book"/>
          <w:b/>
        </w:rPr>
      </w:pPr>
    </w:p>
    <w:p w14:paraId="09D793DB" w14:textId="77777777" w:rsidR="00C75DEF" w:rsidRDefault="00000000">
      <w:pPr>
        <w:spacing w:line="276" w:lineRule="auto"/>
        <w:jc w:val="both"/>
        <w:rPr>
          <w:rFonts w:ascii="Gibson Book" w:eastAsia="Gibson Book" w:hAnsi="Gibson Book" w:cs="Gibson Book"/>
        </w:rPr>
      </w:pPr>
      <w:r>
        <w:rPr>
          <w:rFonts w:ascii="Gibson Book" w:eastAsia="Gibson Book" w:hAnsi="Gibson Book" w:cs="Gibson Book"/>
        </w:rPr>
        <w:t>La Dirección de Recursos Humanos emplea procedimientos físicos, electrónicos y administrativos para prevenir el acceso no autorizado, mantener la exactitud de los datos, y garantizar el uso correcto de su información personal.</w:t>
      </w:r>
    </w:p>
    <w:p w14:paraId="2E4FE897" w14:textId="77777777" w:rsidR="00C75DEF" w:rsidRDefault="00C75DEF">
      <w:pPr>
        <w:spacing w:line="276" w:lineRule="auto"/>
        <w:jc w:val="both"/>
        <w:rPr>
          <w:rFonts w:ascii="Gibson Book" w:eastAsia="Gibson Book" w:hAnsi="Gibson Book" w:cs="Gibson Book"/>
        </w:rPr>
      </w:pPr>
    </w:p>
    <w:p w14:paraId="4A9AACE4" w14:textId="75E0BA30" w:rsidR="00C75DEF" w:rsidRDefault="00000000">
      <w:pPr>
        <w:spacing w:line="276" w:lineRule="auto"/>
        <w:jc w:val="both"/>
        <w:rPr>
          <w:rFonts w:ascii="Gibson Book" w:eastAsia="Gibson Book" w:hAnsi="Gibson Book" w:cs="Gibson Book"/>
        </w:rPr>
      </w:pPr>
      <w:r>
        <w:rPr>
          <w:rFonts w:ascii="Gibson Book" w:eastAsia="Gibson Book" w:hAnsi="Gibson Book" w:cs="Gibson Book"/>
          <w:b/>
        </w:rPr>
        <w:lastRenderedPageBreak/>
        <w:t xml:space="preserve">V. ¿Cómo </w:t>
      </w:r>
      <w:r w:rsidR="00A44B7C">
        <w:rPr>
          <w:rFonts w:ascii="Gibson Book" w:eastAsia="Gibson Book" w:hAnsi="Gibson Book" w:cs="Gibson Book"/>
          <w:b/>
        </w:rPr>
        <w:t>a</w:t>
      </w:r>
      <w:r>
        <w:rPr>
          <w:rFonts w:ascii="Gibson Book" w:eastAsia="Gibson Book" w:hAnsi="Gibson Book" w:cs="Gibson Book"/>
          <w:b/>
        </w:rPr>
        <w:t xml:space="preserve">cceder, </w:t>
      </w:r>
      <w:r w:rsidR="00A44B7C">
        <w:rPr>
          <w:rFonts w:ascii="Gibson Book" w:eastAsia="Gibson Book" w:hAnsi="Gibson Book" w:cs="Gibson Book"/>
          <w:b/>
        </w:rPr>
        <w:t>r</w:t>
      </w:r>
      <w:r>
        <w:rPr>
          <w:rFonts w:ascii="Gibson Book" w:eastAsia="Gibson Book" w:hAnsi="Gibson Book" w:cs="Gibson Book"/>
          <w:b/>
        </w:rPr>
        <w:t xml:space="preserve">ectificar, </w:t>
      </w:r>
      <w:r w:rsidR="00A44B7C">
        <w:rPr>
          <w:rFonts w:ascii="Gibson Book" w:eastAsia="Gibson Book" w:hAnsi="Gibson Book" w:cs="Gibson Book"/>
          <w:b/>
        </w:rPr>
        <w:t>c</w:t>
      </w:r>
      <w:r>
        <w:rPr>
          <w:rFonts w:ascii="Gibson Book" w:eastAsia="Gibson Book" w:hAnsi="Gibson Book" w:cs="Gibson Book"/>
          <w:b/>
        </w:rPr>
        <w:t xml:space="preserve">ancelar u </w:t>
      </w:r>
      <w:r w:rsidR="00A44B7C">
        <w:rPr>
          <w:rFonts w:ascii="Gibson Book" w:eastAsia="Gibson Book" w:hAnsi="Gibson Book" w:cs="Gibson Book"/>
          <w:b/>
        </w:rPr>
        <w:t>o</w:t>
      </w:r>
      <w:r>
        <w:rPr>
          <w:rFonts w:ascii="Gibson Book" w:eastAsia="Gibson Book" w:hAnsi="Gibson Book" w:cs="Gibson Book"/>
          <w:b/>
        </w:rPr>
        <w:t xml:space="preserve">ponerse al uso y tratamiento de sus </w:t>
      </w:r>
      <w:proofErr w:type="gramStart"/>
      <w:r>
        <w:rPr>
          <w:rFonts w:ascii="Gibson Book" w:eastAsia="Gibson Book" w:hAnsi="Gibson Book" w:cs="Gibson Book"/>
          <w:b/>
        </w:rPr>
        <w:t>datos  personales</w:t>
      </w:r>
      <w:proofErr w:type="gramEnd"/>
      <w:r>
        <w:rPr>
          <w:rFonts w:ascii="Gibson Book" w:eastAsia="Gibson Book" w:hAnsi="Gibson Book" w:cs="Gibson Book"/>
          <w:b/>
        </w:rPr>
        <w:t xml:space="preserve"> (Derechos ARCO) o revocar su consentimiento para el tratamiento de sus datos?</w:t>
      </w:r>
    </w:p>
    <w:p w14:paraId="2AE77DF9" w14:textId="77777777" w:rsidR="00C75DEF" w:rsidRDefault="00C75DEF">
      <w:pPr>
        <w:spacing w:line="276" w:lineRule="auto"/>
        <w:jc w:val="both"/>
        <w:rPr>
          <w:rFonts w:ascii="Gibson Book" w:eastAsia="Gibson Book" w:hAnsi="Gibson Book" w:cs="Gibson Book"/>
          <w:b/>
        </w:rPr>
      </w:pPr>
    </w:p>
    <w:p w14:paraId="0DD87674" w14:textId="77777777" w:rsidR="00C75DEF" w:rsidRDefault="00000000">
      <w:pPr>
        <w:spacing w:line="276" w:lineRule="auto"/>
        <w:jc w:val="both"/>
        <w:rPr>
          <w:rFonts w:ascii="Gibson Book" w:eastAsia="Gibson Book" w:hAnsi="Gibson Book" w:cs="Gibson Book"/>
        </w:rPr>
      </w:pPr>
      <w:r>
        <w:rPr>
          <w:rFonts w:ascii="Gibson Book" w:eastAsia="Gibson Book" w:hAnsi="Gibson Book" w:cs="Gibson Book"/>
        </w:rPr>
        <w:t>Usted tiene derecho de acceso, rectificación, cancelación u oposición al tratamiento de sus datos personales o revocar el consentimiento. Para el ejercicio de estos derechos el titular de los datos personales o su representante deberán presentar solicitud de ejercicio de derechos ARCO, misma que podrá ser presentada en formato libre, siempre que reúna los siguientes requisitos:</w:t>
      </w:r>
    </w:p>
    <w:p w14:paraId="4444EE12" w14:textId="77777777" w:rsidR="00C75DEF" w:rsidRDefault="00C75DEF">
      <w:pPr>
        <w:spacing w:line="276" w:lineRule="auto"/>
        <w:jc w:val="both"/>
        <w:rPr>
          <w:rFonts w:ascii="Gibson Book" w:eastAsia="Gibson Book" w:hAnsi="Gibson Book" w:cs="Gibson Book"/>
        </w:rPr>
      </w:pPr>
    </w:p>
    <w:p w14:paraId="236E0FA4" w14:textId="4953B135" w:rsidR="00C75DEF" w:rsidRPr="00647D9B" w:rsidRDefault="00000000" w:rsidP="00647D9B">
      <w:pPr>
        <w:pStyle w:val="Prrafodelista"/>
        <w:numPr>
          <w:ilvl w:val="0"/>
          <w:numId w:val="3"/>
        </w:numPr>
        <w:spacing w:line="276" w:lineRule="auto"/>
        <w:jc w:val="both"/>
        <w:rPr>
          <w:rFonts w:ascii="Gibson Book" w:eastAsia="Gibson Book" w:hAnsi="Gibson Book" w:cs="Gibson Book"/>
        </w:rPr>
      </w:pPr>
      <w:r w:rsidRPr="00647D9B">
        <w:rPr>
          <w:rFonts w:ascii="Gibson Book" w:eastAsia="Gibson Book" w:hAnsi="Gibson Book" w:cs="Gibson Book"/>
        </w:rPr>
        <w:t xml:space="preserve"> Acreditar que es el titular de los datos personales ante la autoridad a la que se dirige la solicitud.</w:t>
      </w:r>
    </w:p>
    <w:p w14:paraId="505ADE05" w14:textId="2AC21C24" w:rsidR="00C75DEF" w:rsidRPr="00647D9B" w:rsidRDefault="00000000" w:rsidP="00647D9B">
      <w:pPr>
        <w:pStyle w:val="Prrafodelista"/>
        <w:numPr>
          <w:ilvl w:val="0"/>
          <w:numId w:val="3"/>
        </w:numPr>
        <w:spacing w:line="276" w:lineRule="auto"/>
        <w:jc w:val="both"/>
        <w:rPr>
          <w:rFonts w:ascii="Gibson Book" w:eastAsia="Gibson Book" w:hAnsi="Gibson Book" w:cs="Gibson Book"/>
        </w:rPr>
      </w:pPr>
      <w:r w:rsidRPr="00647D9B">
        <w:rPr>
          <w:rFonts w:ascii="Gibson Book" w:eastAsia="Gibson Book" w:hAnsi="Gibson Book" w:cs="Gibson Book"/>
        </w:rPr>
        <w:t>Nombre, datos generales e identificación oficial del solicitante, o en su defecto, poder otorgado por el titular de los datos personales.</w:t>
      </w:r>
    </w:p>
    <w:p w14:paraId="49043EAE" w14:textId="73BE5B67" w:rsidR="00C75DEF" w:rsidRPr="00647D9B" w:rsidRDefault="00000000" w:rsidP="00647D9B">
      <w:pPr>
        <w:pStyle w:val="Prrafodelista"/>
        <w:numPr>
          <w:ilvl w:val="0"/>
          <w:numId w:val="3"/>
        </w:numPr>
        <w:spacing w:line="276" w:lineRule="auto"/>
        <w:jc w:val="both"/>
        <w:rPr>
          <w:rFonts w:ascii="Gibson Book" w:eastAsia="Gibson Book" w:hAnsi="Gibson Book" w:cs="Gibson Book"/>
        </w:rPr>
      </w:pPr>
      <w:r w:rsidRPr="00647D9B">
        <w:rPr>
          <w:rFonts w:ascii="Gibson Book" w:eastAsia="Gibson Book" w:hAnsi="Gibson Book" w:cs="Gibson Book"/>
        </w:rPr>
        <w:t>Precisión de los datos respecto de los que busca ejercer alguno de los derechos ARCO (Acceso, Rectificación, Cancelación y Oposición).</w:t>
      </w:r>
    </w:p>
    <w:p w14:paraId="42E58362" w14:textId="68C585D0" w:rsidR="00C75DEF" w:rsidRPr="00647D9B" w:rsidRDefault="00000000" w:rsidP="00647D9B">
      <w:pPr>
        <w:pStyle w:val="Prrafodelista"/>
        <w:numPr>
          <w:ilvl w:val="0"/>
          <w:numId w:val="3"/>
        </w:numPr>
        <w:spacing w:line="276" w:lineRule="auto"/>
        <w:jc w:val="both"/>
        <w:rPr>
          <w:rFonts w:ascii="Gibson Book" w:eastAsia="Gibson Book" w:hAnsi="Gibson Book" w:cs="Gibson Book"/>
        </w:rPr>
      </w:pPr>
      <w:r w:rsidRPr="00647D9B">
        <w:rPr>
          <w:rFonts w:ascii="Gibson Book" w:eastAsia="Gibson Book" w:hAnsi="Gibson Book" w:cs="Gibson Book"/>
        </w:rPr>
        <w:t>Domicilio para recibir notificaciones y/o correo electrónico.</w:t>
      </w:r>
    </w:p>
    <w:p w14:paraId="79EE2F33" w14:textId="7CAB5F17" w:rsidR="00C75DEF" w:rsidRPr="00647D9B" w:rsidRDefault="00000000" w:rsidP="00647D9B">
      <w:pPr>
        <w:pStyle w:val="Prrafodelista"/>
        <w:numPr>
          <w:ilvl w:val="0"/>
          <w:numId w:val="3"/>
        </w:numPr>
        <w:spacing w:line="276" w:lineRule="auto"/>
        <w:jc w:val="both"/>
        <w:rPr>
          <w:rFonts w:ascii="Gibson Book" w:eastAsia="Gibson Book" w:hAnsi="Gibson Book" w:cs="Gibson Book"/>
        </w:rPr>
      </w:pPr>
      <w:r w:rsidRPr="00647D9B">
        <w:rPr>
          <w:rFonts w:ascii="Gibson Book" w:eastAsia="Gibson Book" w:hAnsi="Gibson Book" w:cs="Gibson Book"/>
        </w:rPr>
        <w:t xml:space="preserve">Modalidad en la que prefiere se </w:t>
      </w:r>
      <w:proofErr w:type="gramStart"/>
      <w:r w:rsidRPr="00647D9B">
        <w:rPr>
          <w:rFonts w:ascii="Gibson Book" w:eastAsia="Gibson Book" w:hAnsi="Gibson Book" w:cs="Gibson Book"/>
        </w:rPr>
        <w:t>le</w:t>
      </w:r>
      <w:proofErr w:type="gramEnd"/>
      <w:r w:rsidRPr="00647D9B">
        <w:rPr>
          <w:rFonts w:ascii="Gibson Book" w:eastAsia="Gibson Book" w:hAnsi="Gibson Book" w:cs="Gibson Book"/>
        </w:rPr>
        <w:t xml:space="preserve"> otorgue el acceso a sus datos (verbalmente, mediante consulta directa, a través de documentos como copias simples, certificadas u otros).</w:t>
      </w:r>
    </w:p>
    <w:p w14:paraId="4195A73F" w14:textId="556BF016" w:rsidR="00C75DEF" w:rsidRPr="00647D9B" w:rsidRDefault="00000000" w:rsidP="00647D9B">
      <w:pPr>
        <w:pStyle w:val="Prrafodelista"/>
        <w:numPr>
          <w:ilvl w:val="0"/>
          <w:numId w:val="3"/>
        </w:numPr>
        <w:spacing w:line="276" w:lineRule="auto"/>
        <w:jc w:val="both"/>
        <w:rPr>
          <w:rFonts w:ascii="Gibson Book" w:eastAsia="Gibson Book" w:hAnsi="Gibson Book" w:cs="Gibson Book"/>
        </w:rPr>
      </w:pPr>
      <w:r w:rsidRPr="00647D9B">
        <w:rPr>
          <w:rFonts w:ascii="Gibson Book" w:eastAsia="Gibson Book" w:hAnsi="Gibson Book" w:cs="Gibson Book"/>
        </w:rPr>
        <w:t xml:space="preserve"> Algún elemento que facilite la localización de la información.</w:t>
      </w:r>
    </w:p>
    <w:p w14:paraId="253DEF22" w14:textId="28E66A37" w:rsidR="00C75DEF" w:rsidRPr="00647D9B" w:rsidRDefault="00000000" w:rsidP="00647D9B">
      <w:pPr>
        <w:pStyle w:val="Prrafodelista"/>
        <w:numPr>
          <w:ilvl w:val="0"/>
          <w:numId w:val="3"/>
        </w:numPr>
        <w:spacing w:line="276" w:lineRule="auto"/>
        <w:jc w:val="both"/>
        <w:rPr>
          <w:rFonts w:ascii="Gibson Book" w:eastAsia="Gibson Book" w:hAnsi="Gibson Book" w:cs="Gibson Book"/>
        </w:rPr>
      </w:pPr>
      <w:r w:rsidRPr="00647D9B">
        <w:rPr>
          <w:rFonts w:ascii="Gibson Book" w:eastAsia="Gibson Book" w:hAnsi="Gibson Book" w:cs="Gibson Book"/>
        </w:rPr>
        <w:t xml:space="preserve"> Firma del solicitante.</w:t>
      </w:r>
    </w:p>
    <w:p w14:paraId="540BBD9F" w14:textId="77777777" w:rsidR="00C75DEF" w:rsidRDefault="00C75DEF">
      <w:pPr>
        <w:spacing w:line="276" w:lineRule="auto"/>
        <w:jc w:val="both"/>
        <w:rPr>
          <w:rFonts w:ascii="Gibson Book" w:eastAsia="Gibson Book" w:hAnsi="Gibson Book" w:cs="Gibson Book"/>
        </w:rPr>
      </w:pPr>
    </w:p>
    <w:p w14:paraId="61766788" w14:textId="77777777" w:rsidR="00C75DEF" w:rsidRDefault="00000000">
      <w:pPr>
        <w:spacing w:line="276" w:lineRule="auto"/>
        <w:jc w:val="both"/>
        <w:rPr>
          <w:rFonts w:ascii="Gibson Book" w:eastAsia="Gibson Book" w:hAnsi="Gibson Book" w:cs="Gibson Book"/>
        </w:rPr>
      </w:pPr>
      <w:bookmarkStart w:id="4" w:name="_heading=h.2et92p0" w:colFirst="0" w:colLast="0"/>
      <w:bookmarkEnd w:id="4"/>
      <w:r>
        <w:rPr>
          <w:rFonts w:ascii="Gibson Book" w:eastAsia="Gibson Book" w:hAnsi="Gibson Book" w:cs="Gibson Book"/>
        </w:rPr>
        <w:t xml:space="preserve">Dicho escrito podrá presentarse de manera directa y presencial ante la Dirección de Recursos Humanos, con domicilio en Calle Francisco Márquez número 326, Colonia Chapultepec Norte, C.P. 58260, en la Ciudad de Morelia, Michoacán, en un horario, de lunes a viernes de 08:00 a 17:00 horas, o enviando su petición al correo electrónico dir.recursoshumanos@correo.michoacan.gob.mx, correspondiente a la Dirección de Recursos Humanos y/o transparenciasfa@michoacan.gob.mx correspondiente a la Unidad de Transparencia de la Secretaría de Finanzas y Administración. </w:t>
      </w:r>
    </w:p>
    <w:p w14:paraId="166EC664" w14:textId="77777777" w:rsidR="00C75DEF" w:rsidRDefault="00C75DEF">
      <w:pPr>
        <w:spacing w:line="276" w:lineRule="auto"/>
        <w:jc w:val="both"/>
        <w:rPr>
          <w:rFonts w:ascii="Gibson Book" w:eastAsia="Gibson Book" w:hAnsi="Gibson Book" w:cs="Gibson Book"/>
          <w:b/>
        </w:rPr>
      </w:pPr>
    </w:p>
    <w:p w14:paraId="32BDB914" w14:textId="77777777" w:rsidR="00C75DEF" w:rsidRDefault="00000000">
      <w:pPr>
        <w:spacing w:line="276" w:lineRule="auto"/>
        <w:jc w:val="both"/>
        <w:rPr>
          <w:rFonts w:ascii="Gibson Book" w:eastAsia="Gibson Book" w:hAnsi="Gibson Book" w:cs="Gibson Book"/>
        </w:rPr>
      </w:pPr>
      <w:r>
        <w:rPr>
          <w:rFonts w:ascii="Gibson Book" w:eastAsia="Gibson Book" w:hAnsi="Gibson Book" w:cs="Gibson Book"/>
          <w:b/>
        </w:rPr>
        <w:lastRenderedPageBreak/>
        <w:t>VI. Transferencia de datos personales</w:t>
      </w:r>
    </w:p>
    <w:p w14:paraId="267A9151" w14:textId="5DC7B45F" w:rsidR="00C75DEF" w:rsidRDefault="00DC12C2">
      <w:pPr>
        <w:spacing w:line="276" w:lineRule="auto"/>
        <w:jc w:val="both"/>
        <w:rPr>
          <w:rFonts w:ascii="Gibson Book" w:eastAsia="Gibson Book" w:hAnsi="Gibson Book" w:cs="Gibson Book"/>
        </w:rPr>
      </w:pPr>
      <w:r>
        <w:rPr>
          <w:rFonts w:ascii="Gibson Book" w:eastAsia="Gibson Book" w:hAnsi="Gibson Book" w:cs="Gibson Book"/>
        </w:rPr>
        <w:t>Se informa que</w:t>
      </w:r>
      <w:r w:rsidRPr="00660A42">
        <w:rPr>
          <w:rFonts w:ascii="Gibson Book" w:eastAsia="Gibson Book" w:hAnsi="Gibson Book" w:cs="Gibson Book"/>
          <w:lang w:val="es-MX"/>
        </w:rPr>
        <w:t xml:space="preserve"> los datos personales </w:t>
      </w:r>
      <w:r>
        <w:rPr>
          <w:rFonts w:ascii="Gibson Book" w:eastAsia="Gibson Book" w:hAnsi="Gibson Book" w:cs="Gibson Book"/>
          <w:lang w:val="es-MX"/>
        </w:rPr>
        <w:t xml:space="preserve">pueden ser transferidos </w:t>
      </w:r>
      <w:r w:rsidRPr="00EB1AEF">
        <w:rPr>
          <w:rFonts w:ascii="Gibson Book" w:eastAsia="Gibson Book" w:hAnsi="Gibson Book" w:cs="Gibson Book"/>
        </w:rPr>
        <w:t xml:space="preserve">a las </w:t>
      </w:r>
      <w:r>
        <w:rPr>
          <w:rFonts w:ascii="Gibson Book" w:eastAsia="Gibson Book" w:hAnsi="Gibson Book" w:cs="Gibson Book"/>
        </w:rPr>
        <w:t>U</w:t>
      </w:r>
      <w:r w:rsidRPr="00EB1AEF">
        <w:rPr>
          <w:rFonts w:ascii="Gibson Book" w:eastAsia="Gibson Book" w:hAnsi="Gibson Book" w:cs="Gibson Book"/>
        </w:rPr>
        <w:t xml:space="preserve">nidades </w:t>
      </w:r>
      <w:r w:rsidR="00074561">
        <w:rPr>
          <w:rFonts w:ascii="Gibson Book" w:eastAsia="Gibson Book" w:hAnsi="Gibson Book" w:cs="Gibson Book"/>
        </w:rPr>
        <w:t>A</w:t>
      </w:r>
      <w:r>
        <w:rPr>
          <w:rFonts w:ascii="Gibson Book" w:eastAsia="Gibson Book" w:hAnsi="Gibson Book" w:cs="Gibson Book"/>
        </w:rPr>
        <w:t xml:space="preserve">dministrativas </w:t>
      </w:r>
      <w:r w:rsidRPr="00EB1AEF">
        <w:rPr>
          <w:rFonts w:ascii="Gibson Book" w:eastAsia="Gibson Book" w:hAnsi="Gibson Book" w:cs="Gibson Book"/>
        </w:rPr>
        <w:t xml:space="preserve">de la Secretaría de </w:t>
      </w:r>
      <w:r>
        <w:rPr>
          <w:rFonts w:ascii="Gibson Book" w:eastAsia="Gibson Book" w:hAnsi="Gibson Book" w:cs="Gibson Book"/>
        </w:rPr>
        <w:t>Finanzas y Administración,</w:t>
      </w:r>
      <w:r w:rsidRPr="00EB1AEF">
        <w:rPr>
          <w:rFonts w:ascii="Gibson Book" w:eastAsia="Gibson Book" w:hAnsi="Gibson Book" w:cs="Gibson Book"/>
        </w:rPr>
        <w:t xml:space="preserve"> en caso de requerirse, previo consentimiento del titular, con la finalidad de proporcionarle el trámite señalado</w:t>
      </w:r>
      <w:r>
        <w:rPr>
          <w:rFonts w:ascii="Gibson Book" w:eastAsia="Gibson Book" w:hAnsi="Gibson Book" w:cs="Gibson Book"/>
          <w:lang w:val="es-MX"/>
        </w:rPr>
        <w:t xml:space="preserve">, así como de manera enunciativa mas no limitativa al Instituto Mexicano del Seguro Social, Secretaría de Contraloría, Tribunal de Justicia Administrativa y demás </w:t>
      </w:r>
      <w:r w:rsidRPr="00725E85">
        <w:rPr>
          <w:rFonts w:ascii="Gibson Book" w:eastAsia="Gibson Book" w:hAnsi="Gibson Book" w:cs="Gibson Book"/>
        </w:rPr>
        <w:t xml:space="preserve">autoridades competentes, para el cumplimiento de las atribuciones que las leyes prevean; </w:t>
      </w:r>
      <w:r w:rsidR="00074561">
        <w:rPr>
          <w:rFonts w:ascii="Gibson Book" w:eastAsia="Gibson Book" w:hAnsi="Gibson Book" w:cs="Gibson Book"/>
        </w:rPr>
        <w:t xml:space="preserve">en cuanto </w:t>
      </w:r>
      <w:r w:rsidRPr="00725E85">
        <w:rPr>
          <w:rFonts w:ascii="Gibson Book" w:eastAsia="Gibson Book" w:hAnsi="Gibson Book" w:cs="Gibson Book"/>
        </w:rPr>
        <w:t xml:space="preserve">autoridades jurisdiccionales y administrativas federales, estatales y municipales, que </w:t>
      </w:r>
      <w:r w:rsidR="00074561">
        <w:rPr>
          <w:rFonts w:ascii="Gibson Book" w:eastAsia="Gibson Book" w:hAnsi="Gibson Book" w:cs="Gibson Book"/>
        </w:rPr>
        <w:t xml:space="preserve"> expresamente </w:t>
      </w:r>
      <w:r w:rsidRPr="00725E85">
        <w:rPr>
          <w:rFonts w:ascii="Gibson Book" w:eastAsia="Gibson Book" w:hAnsi="Gibson Book" w:cs="Gibson Book"/>
        </w:rPr>
        <w:t>lo requieran siempre y cuando se encuentre debidamente fundado y motivado.</w:t>
      </w:r>
    </w:p>
    <w:p w14:paraId="42F92160" w14:textId="77777777" w:rsidR="00DC12C2" w:rsidRDefault="00DC12C2">
      <w:pPr>
        <w:spacing w:line="276" w:lineRule="auto"/>
        <w:jc w:val="both"/>
        <w:rPr>
          <w:rFonts w:ascii="Gibson Book" w:eastAsia="Gibson Book" w:hAnsi="Gibson Book" w:cs="Gibson Book"/>
          <w:b/>
        </w:rPr>
      </w:pPr>
    </w:p>
    <w:p w14:paraId="47259163" w14:textId="0B5E7D49" w:rsidR="00C75DEF" w:rsidRDefault="00000000">
      <w:pPr>
        <w:spacing w:line="276" w:lineRule="auto"/>
        <w:jc w:val="both"/>
        <w:rPr>
          <w:rFonts w:ascii="Gibson Book" w:eastAsia="Gibson Book" w:hAnsi="Gibson Book" w:cs="Gibson Book"/>
        </w:rPr>
      </w:pPr>
      <w:r>
        <w:rPr>
          <w:rFonts w:ascii="Gibson Book" w:eastAsia="Gibson Book" w:hAnsi="Gibson Book" w:cs="Gibson Book"/>
          <w:b/>
        </w:rPr>
        <w:t>VII. Modificaciones al aviso de privacidad</w:t>
      </w:r>
    </w:p>
    <w:p w14:paraId="07476F51" w14:textId="77777777" w:rsidR="00C75DEF" w:rsidRDefault="00C75DEF">
      <w:pPr>
        <w:spacing w:line="276" w:lineRule="auto"/>
        <w:jc w:val="both"/>
        <w:rPr>
          <w:rFonts w:ascii="Gibson Book" w:eastAsia="Gibson Book" w:hAnsi="Gibson Book" w:cs="Gibson Book"/>
        </w:rPr>
      </w:pPr>
    </w:p>
    <w:p w14:paraId="5A861C90" w14:textId="3A0EEDC0" w:rsidR="00C75DEF" w:rsidRDefault="00000000">
      <w:pPr>
        <w:spacing w:line="276" w:lineRule="auto"/>
        <w:jc w:val="both"/>
        <w:rPr>
          <w:rFonts w:ascii="Gibson Book" w:eastAsia="Gibson Book" w:hAnsi="Gibson Book" w:cs="Gibson Book"/>
        </w:rPr>
      </w:pPr>
      <w:r>
        <w:rPr>
          <w:rFonts w:ascii="Gibson Book" w:eastAsia="Gibson Book" w:hAnsi="Gibson Book" w:cs="Gibson Book"/>
        </w:rPr>
        <w:t>La Secretaría de Finanzas y Administración, notificará de cualquier cambio al aviso de privacidad mediante comunicados que se publicarán a través de</w:t>
      </w:r>
      <w:r w:rsidR="00074561">
        <w:rPr>
          <w:rFonts w:ascii="Gibson Book" w:eastAsia="Gibson Book" w:hAnsi="Gibson Book" w:cs="Gibson Book"/>
        </w:rPr>
        <w:t>l</w:t>
      </w:r>
      <w:r w:rsidR="00A44B7C">
        <w:rPr>
          <w:rFonts w:ascii="Gibson Book" w:eastAsia="Gibson Book" w:hAnsi="Gibson Book" w:cs="Gibson Book"/>
        </w:rPr>
        <w:t xml:space="preserve"> </w:t>
      </w:r>
      <w:r>
        <w:rPr>
          <w:rFonts w:ascii="Gibson Book" w:eastAsia="Gibson Book" w:hAnsi="Gibson Book" w:cs="Gibson Book"/>
        </w:rPr>
        <w:t xml:space="preserve">portal de transparencia: </w:t>
      </w:r>
      <w:hyperlink r:id="rId8">
        <w:r w:rsidR="00C75DEF">
          <w:rPr>
            <w:rFonts w:ascii="Gibson Book" w:eastAsia="Gibson Book" w:hAnsi="Gibson Book" w:cs="Gibson Book"/>
          </w:rPr>
          <w:t>https://secfinanzas.michoacan.gob.mx/</w:t>
        </w:r>
      </w:hyperlink>
    </w:p>
    <w:p w14:paraId="6602AB9C" w14:textId="77777777" w:rsidR="00C75DEF" w:rsidRDefault="00C75DEF">
      <w:pPr>
        <w:spacing w:line="276" w:lineRule="auto"/>
        <w:jc w:val="both"/>
        <w:rPr>
          <w:rFonts w:ascii="Gibson Book" w:eastAsia="Gibson Book" w:hAnsi="Gibson Book" w:cs="Gibson Book"/>
          <w:i/>
        </w:rPr>
      </w:pPr>
    </w:p>
    <w:p w14:paraId="0F7E5DB6" w14:textId="77777777" w:rsidR="00C75DEF" w:rsidRDefault="00000000">
      <w:pPr>
        <w:spacing w:line="276" w:lineRule="auto"/>
        <w:jc w:val="both"/>
        <w:rPr>
          <w:rFonts w:ascii="Gibson Book" w:eastAsia="Gibson Book" w:hAnsi="Gibson Book" w:cs="Gibson Book"/>
          <w:b/>
        </w:rPr>
      </w:pPr>
      <w:r>
        <w:rPr>
          <w:rFonts w:ascii="Gibson Book" w:eastAsia="Gibson Book" w:hAnsi="Gibson Book" w:cs="Gibson Book"/>
          <w:b/>
        </w:rPr>
        <w:t>VIII. Fecha de elaboración y Actualización</w:t>
      </w:r>
    </w:p>
    <w:p w14:paraId="7DDDC104" w14:textId="2CFEC8F8" w:rsidR="00C75DEF" w:rsidRPr="00E9367A" w:rsidRDefault="00DC12C2">
      <w:pPr>
        <w:spacing w:line="276" w:lineRule="auto"/>
        <w:jc w:val="both"/>
        <w:rPr>
          <w:rFonts w:ascii="Gibson Book" w:eastAsia="Gibson Book" w:hAnsi="Gibson Book" w:cs="Gibson Book"/>
          <w:b/>
        </w:rPr>
      </w:pPr>
      <w:r w:rsidRPr="00E9367A">
        <w:rPr>
          <w:rFonts w:ascii="Gibson Book" w:eastAsia="Gibson Book" w:hAnsi="Gibson Book" w:cs="Gibson Book"/>
          <w:b/>
        </w:rPr>
        <w:t>07/10/2024</w:t>
      </w:r>
    </w:p>
    <w:sectPr w:rsidR="00C75DEF" w:rsidRPr="00E9367A" w:rsidSect="00DC12C2">
      <w:headerReference w:type="default" r:id="rId9"/>
      <w:footerReference w:type="default" r:id="rId10"/>
      <w:pgSz w:w="12240" w:h="15840"/>
      <w:pgMar w:top="3828" w:right="1701" w:bottom="1276" w:left="1701" w:header="708" w:footer="3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EF860" w14:textId="77777777" w:rsidR="007B2C83" w:rsidRDefault="007B2C83">
      <w:r>
        <w:separator/>
      </w:r>
    </w:p>
  </w:endnote>
  <w:endnote w:type="continuationSeparator" w:id="0">
    <w:p w14:paraId="32BB0DCB" w14:textId="77777777" w:rsidR="007B2C83" w:rsidRDefault="007B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A3BA5DE-288F-44CE-B4F4-DEC937B8897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DD2693-FD11-48B8-AED7-AC09C12F16E7}"/>
    <w:embedBold r:id="rId3" w:fontKey="{FAFD903E-06F0-4880-B8AA-B048F24ABC15}"/>
  </w:font>
  <w:font w:name="Georgia">
    <w:panose1 w:val="02040502050405020303"/>
    <w:charset w:val="00"/>
    <w:family w:val="roman"/>
    <w:pitch w:val="variable"/>
    <w:sig w:usb0="00000287" w:usb1="00000000" w:usb2="00000000" w:usb3="00000000" w:csb0="0000009F" w:csb1="00000000"/>
    <w:embedRegular r:id="rId4" w:fontKey="{C4AEAD76-7E4A-42DB-9E7D-F039E850328C}"/>
    <w:embedItalic r:id="rId5" w:fontKey="{026962A2-6C21-447A-9092-8235705BBF52}"/>
  </w:font>
  <w:font w:name="Gibson Book">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ECBAF277-DE27-4372-BBCF-EE4A3D65D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89832" w14:textId="77777777" w:rsidR="00C75DEF" w:rsidRDefault="0000000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C12C2">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C12C2">
      <w:rPr>
        <w:b/>
        <w:noProof/>
        <w:color w:val="000000"/>
      </w:rPr>
      <w:t>2</w:t>
    </w:r>
    <w:r>
      <w:rPr>
        <w:b/>
        <w:color w:val="000000"/>
      </w:rPr>
      <w:fldChar w:fldCharType="end"/>
    </w:r>
  </w:p>
  <w:p w14:paraId="606399D1" w14:textId="77777777" w:rsidR="00C75DEF" w:rsidRDefault="00C75DE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2B222" w14:textId="77777777" w:rsidR="007B2C83" w:rsidRDefault="007B2C83">
      <w:r>
        <w:separator/>
      </w:r>
    </w:p>
  </w:footnote>
  <w:footnote w:type="continuationSeparator" w:id="0">
    <w:p w14:paraId="72603C1F" w14:textId="77777777" w:rsidR="007B2C83" w:rsidRDefault="007B2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4FBDA" w14:textId="77777777" w:rsidR="00C75DEF"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A0CB1F7" wp14:editId="64141C42">
          <wp:simplePos x="0" y="0"/>
          <wp:positionH relativeFrom="column">
            <wp:posOffset>-1138007</wp:posOffset>
          </wp:positionH>
          <wp:positionV relativeFrom="paragraph">
            <wp:posOffset>-449579</wp:posOffset>
          </wp:positionV>
          <wp:extent cx="7910063" cy="10225553"/>
          <wp:effectExtent l="0" t="0" r="0" b="0"/>
          <wp:wrapNone/>
          <wp:docPr id="719281291" name="image2.png" descr="/Users/cgcs/Downloads/HOJA OFICIO 2024 - 200 AÑOS.png"/>
          <wp:cNvGraphicFramePr/>
          <a:graphic xmlns:a="http://schemas.openxmlformats.org/drawingml/2006/main">
            <a:graphicData uri="http://schemas.openxmlformats.org/drawingml/2006/picture">
              <pic:pic xmlns:pic="http://schemas.openxmlformats.org/drawingml/2006/picture">
                <pic:nvPicPr>
                  <pic:cNvPr id="0" name="image2.png" descr="/Users/cgcs/Downloads/HOJA OFICIO 2024 - 200 AÑOS.png"/>
                  <pic:cNvPicPr preferRelativeResize="0"/>
                </pic:nvPicPr>
                <pic:blipFill>
                  <a:blip r:embed="rId1"/>
                  <a:srcRect/>
                  <a:stretch>
                    <a:fillRect/>
                  </a:stretch>
                </pic:blipFill>
                <pic:spPr>
                  <a:xfrm>
                    <a:off x="0" y="0"/>
                    <a:ext cx="7910063" cy="10225553"/>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28CED69" wp14:editId="237CC264">
              <wp:simplePos x="0" y="0"/>
              <wp:positionH relativeFrom="column">
                <wp:posOffset>3124200</wp:posOffset>
              </wp:positionH>
              <wp:positionV relativeFrom="paragraph">
                <wp:posOffset>-190499</wp:posOffset>
              </wp:positionV>
              <wp:extent cx="3495675" cy="1628775"/>
              <wp:effectExtent l="0" t="0" r="0" b="0"/>
              <wp:wrapNone/>
              <wp:docPr id="3" name="Rectángulo 3"/>
              <wp:cNvGraphicFramePr/>
              <a:graphic xmlns:a="http://schemas.openxmlformats.org/drawingml/2006/main">
                <a:graphicData uri="http://schemas.microsoft.com/office/word/2010/wordprocessingShape">
                  <wps:wsp>
                    <wps:cNvSpPr/>
                    <wps:spPr>
                      <a:xfrm>
                        <a:off x="3602925" y="2970375"/>
                        <a:ext cx="3486150" cy="1619250"/>
                      </a:xfrm>
                      <a:prstGeom prst="rect">
                        <a:avLst/>
                      </a:prstGeom>
                      <a:solidFill>
                        <a:schemeClr val="lt1"/>
                      </a:solidFill>
                      <a:ln>
                        <a:noFill/>
                      </a:ln>
                    </wps:spPr>
                    <wps:txbx>
                      <w:txbxContent>
                        <w:p w14:paraId="043A49E1" w14:textId="77777777" w:rsidR="00C75DEF" w:rsidRDefault="00C75DEF">
                          <w:pPr>
                            <w:textDirection w:val="btLr"/>
                          </w:pPr>
                        </w:p>
                      </w:txbxContent>
                    </wps:txbx>
                    <wps:bodyPr spcFirstLastPara="1" wrap="square" lIns="91425" tIns="91425" rIns="91425" bIns="91425" anchor="ctr" anchorCtr="0">
                      <a:noAutofit/>
                    </wps:bodyPr>
                  </wps:wsp>
                </a:graphicData>
              </a:graphic>
            </wp:anchor>
          </w:drawing>
        </mc:Choice>
        <mc:Fallback>
          <w:pict>
            <v:rect w14:anchorId="728CED69" id="Rectángulo 3" o:spid="_x0000_s1026" style="position:absolute;margin-left:246pt;margin-top:-15pt;width:275.25pt;height:12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" fillcolor="white [3201]" stroked="f">
              <v:textbox inset="2.53958mm,2.53958mm,2.53958mm,2.53958mm">
                <w:txbxContent>
                  <w:p w14:paraId="043A49E1" w14:textId="77777777" w:rsidR="00C75DEF" w:rsidRDefault="00C75DEF">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72055"/>
    <w:multiLevelType w:val="hybridMultilevel"/>
    <w:tmpl w:val="4E36CD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D66B9F"/>
    <w:multiLevelType w:val="hybridMultilevel"/>
    <w:tmpl w:val="05E6BBD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1FFC3F6F"/>
    <w:multiLevelType w:val="hybridMultilevel"/>
    <w:tmpl w:val="98100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97650D"/>
    <w:multiLevelType w:val="multilevel"/>
    <w:tmpl w:val="0398530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3940C9"/>
    <w:multiLevelType w:val="multilevel"/>
    <w:tmpl w:val="0398530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DE11AD"/>
    <w:multiLevelType w:val="multilevel"/>
    <w:tmpl w:val="B9EAB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8328950">
    <w:abstractNumId w:val="3"/>
  </w:num>
  <w:num w:numId="2" w16cid:durableId="171191467">
    <w:abstractNumId w:val="5"/>
  </w:num>
  <w:num w:numId="3" w16cid:durableId="36053868">
    <w:abstractNumId w:val="2"/>
  </w:num>
  <w:num w:numId="4" w16cid:durableId="375276886">
    <w:abstractNumId w:val="4"/>
  </w:num>
  <w:num w:numId="5" w16cid:durableId="1387342363">
    <w:abstractNumId w:val="0"/>
  </w:num>
  <w:num w:numId="6" w16cid:durableId="307322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DEF"/>
    <w:rsid w:val="00074561"/>
    <w:rsid w:val="00352009"/>
    <w:rsid w:val="00502D9A"/>
    <w:rsid w:val="00647D9B"/>
    <w:rsid w:val="00685AAE"/>
    <w:rsid w:val="007B2C83"/>
    <w:rsid w:val="009C316A"/>
    <w:rsid w:val="009D7620"/>
    <w:rsid w:val="00A15237"/>
    <w:rsid w:val="00A44B7C"/>
    <w:rsid w:val="00AD524F"/>
    <w:rsid w:val="00C12132"/>
    <w:rsid w:val="00C75DEF"/>
    <w:rsid w:val="00CF4E91"/>
    <w:rsid w:val="00D52B45"/>
    <w:rsid w:val="00D5497A"/>
    <w:rsid w:val="00D54F2A"/>
    <w:rsid w:val="00DC12C2"/>
    <w:rsid w:val="00E9367A"/>
    <w:rsid w:val="00FD46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A63D0"/>
  <w15:docId w15:val="{EF8B2E26-E509-425B-A90E-6DB0AA02C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D9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F7CFB"/>
    <w:pPr>
      <w:tabs>
        <w:tab w:val="center" w:pos="4419"/>
        <w:tab w:val="right" w:pos="8838"/>
      </w:tabs>
    </w:pPr>
  </w:style>
  <w:style w:type="character" w:customStyle="1" w:styleId="EncabezadoCar">
    <w:name w:val="Encabezado Car"/>
    <w:basedOn w:val="Fuentedeprrafopredeter"/>
    <w:link w:val="Encabezado"/>
    <w:uiPriority w:val="99"/>
    <w:rsid w:val="006F7CFB"/>
  </w:style>
  <w:style w:type="paragraph" w:styleId="Piedepgina">
    <w:name w:val="footer"/>
    <w:basedOn w:val="Normal"/>
    <w:link w:val="PiedepginaCar"/>
    <w:uiPriority w:val="99"/>
    <w:unhideWhenUsed/>
    <w:rsid w:val="006F7CFB"/>
    <w:pPr>
      <w:tabs>
        <w:tab w:val="center" w:pos="4419"/>
        <w:tab w:val="right" w:pos="8838"/>
      </w:tabs>
    </w:pPr>
  </w:style>
  <w:style w:type="character" w:customStyle="1" w:styleId="PiedepginaCar">
    <w:name w:val="Pie de página Car"/>
    <w:basedOn w:val="Fuentedeprrafopredeter"/>
    <w:link w:val="Piedepgina"/>
    <w:uiPriority w:val="99"/>
    <w:rsid w:val="006F7CFB"/>
  </w:style>
  <w:style w:type="character" w:styleId="Hipervnculo">
    <w:name w:val="Hyperlink"/>
    <w:basedOn w:val="Fuentedeprrafopredeter"/>
    <w:uiPriority w:val="99"/>
    <w:unhideWhenUsed/>
    <w:rsid w:val="00EE7F8F"/>
    <w:rPr>
      <w:color w:val="0563C1" w:themeColor="hyperlink"/>
      <w:u w:val="single"/>
    </w:rPr>
  </w:style>
  <w:style w:type="paragraph" w:styleId="Prrafodelista">
    <w:name w:val="List Paragraph"/>
    <w:basedOn w:val="Normal"/>
    <w:uiPriority w:val="34"/>
    <w:qFormat/>
    <w:rsid w:val="00D12DE3"/>
    <w:pPr>
      <w:ind w:left="720"/>
      <w:contextualSpacing/>
    </w:pPr>
  </w:style>
  <w:style w:type="character" w:styleId="Textoennegrita">
    <w:name w:val="Strong"/>
    <w:basedOn w:val="Fuentedeprrafopredeter"/>
    <w:uiPriority w:val="22"/>
    <w:qFormat/>
    <w:rsid w:val="00894822"/>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074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ecfinanzas.michoacan.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hcC4uilsv5SJ89xB3Z1PUhjmQ==">CgMxLjAyCGguZ2pkZ3hzMgloLjMwajB6bGwyCWguMWZvYjl0ZTIJaC4zem55c2g3MgloLjJldDkycDAyCGgudHlqY3d0OAByITFReTNtWHZ5UVduSjBkUjE0NGswb3ppdlhycWRZU2Nfeg==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1187</Words>
  <Characters>6534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 USUARIO</cp:lastModifiedBy>
  <cp:revision>2</cp:revision>
  <dcterms:created xsi:type="dcterms:W3CDTF">2024-10-11T01:34:00Z</dcterms:created>
  <dcterms:modified xsi:type="dcterms:W3CDTF">2024-10-11T01:34:00Z</dcterms:modified>
</cp:coreProperties>
</file>